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E63B6B">
        <w:t>2 (Folk</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E63B6B" w:rsidP="00E63B6B">
            <w:pPr>
              <w:jc w:val="both"/>
              <w:rPr>
                <w:rFonts w:cstheme="minorHAnsi"/>
              </w:rPr>
            </w:pPr>
            <w:r>
              <w:rPr>
                <w:lang w:val="fr-FR"/>
              </w:rPr>
              <w:t>HBAMFO006</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380D0A">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B7079">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E63B6B">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E4459" w:rsidRDefault="00E63B6B" w:rsidP="00380D0A">
      <w:pPr>
        <w:spacing w:after="0" w:line="240" w:lineRule="auto"/>
        <w:rPr>
          <w:rFonts w:cs="Arial"/>
        </w:rPr>
      </w:pPr>
      <w:r w:rsidRPr="00401388">
        <w:rPr>
          <w:rFonts w:cs="Arial"/>
        </w:rPr>
        <w:t xml:space="preserve">Building on the work undertaken at level 4, and working with their one to one tutor, students will continue to strive for virtuosity and therefore continue to develop technical proficiency, musicianship and stagecraft. They will continue with a coherent and effective practise regime to ensure safe practice and effective musical and technical progression, as well as determining and achieving personal goals. Through agreed repertoire, students will extend their understanding of stylistic interpretation, in order to develop an emerging individual style and or chosen </w:t>
      </w:r>
      <w:r w:rsidR="00202273">
        <w:rPr>
          <w:rFonts w:cs="Arial"/>
        </w:rPr>
        <w:t>idiomatic</w:t>
      </w:r>
      <w:r w:rsidRPr="00401388">
        <w:rPr>
          <w:rFonts w:cs="Arial"/>
        </w:rPr>
        <w:t xml:space="preserve"> technique</w:t>
      </w:r>
      <w:r w:rsidR="00202273">
        <w:rPr>
          <w:rFonts w:cs="Arial"/>
        </w:rPr>
        <w:t xml:space="preserve"> from global traditions</w:t>
      </w:r>
      <w:r w:rsidRPr="00401388">
        <w:rPr>
          <w:rFonts w:cs="Arial"/>
        </w:rPr>
        <w:t xml:space="preserve">.  Students will prepare a programme for an end of stage recital that evidences an original and confident performance style alongside a secure technique and stylistic awareness.  Students will be encouraged to explore a wider range of global styles than at level 4 and will focus in their playing on developing a more nuanced use of musical parameters, whether playing solo lines, harmonies or rhythmic accompaniment. </w:t>
      </w:r>
      <w:r w:rsidR="00202273">
        <w:rPr>
          <w:rFonts w:cs="Arial"/>
        </w:rPr>
        <w:t xml:space="preserve"> </w:t>
      </w:r>
      <w:r w:rsidR="00202273" w:rsidRPr="009E4BBD">
        <w:rPr>
          <w:rFonts w:cs="Arial"/>
        </w:rPr>
        <w:t>Fusion with other genres will</w:t>
      </w:r>
      <w:r w:rsidR="00202273">
        <w:rPr>
          <w:rFonts w:cs="Arial"/>
        </w:rPr>
        <w:t xml:space="preserve"> continue to</w:t>
      </w:r>
      <w:r w:rsidR="00202273" w:rsidRPr="009E4BBD">
        <w:rPr>
          <w:rFonts w:cs="Arial"/>
        </w:rPr>
        <w:t xml:space="preserve"> be encouraged and supported (e.g. jazz, classical, pop, rock) </w:t>
      </w:r>
      <w:r w:rsidR="00202273">
        <w:rPr>
          <w:rFonts w:cs="Arial"/>
        </w:rPr>
        <w:t>as will combining</w:t>
      </w:r>
      <w:r w:rsidR="00202273" w:rsidRPr="009E4BBD">
        <w:rPr>
          <w:rFonts w:cs="Arial"/>
        </w:rPr>
        <w:t xml:space="preserve"> elements of these in order to perform music that adheres to </w:t>
      </w:r>
      <w:r w:rsidR="00202273">
        <w:rPr>
          <w:rFonts w:cs="Arial"/>
        </w:rPr>
        <w:t xml:space="preserve">fundamental aspects of the </w:t>
      </w:r>
      <w:r w:rsidR="00202273" w:rsidRPr="009E4BBD">
        <w:rPr>
          <w:rFonts w:cs="Arial"/>
        </w:rPr>
        <w:t>tradition</w:t>
      </w:r>
      <w:r w:rsidR="00202273">
        <w:rPr>
          <w:rFonts w:cs="Arial"/>
        </w:rPr>
        <w:t xml:space="preserve"> (i.e. storytelling)</w:t>
      </w:r>
      <w:r w:rsidR="00202273" w:rsidRPr="009E4BBD">
        <w:rPr>
          <w:rFonts w:cs="Arial"/>
        </w:rPr>
        <w:t xml:space="preserve"> but is able to </w:t>
      </w:r>
      <w:r w:rsidR="00202273">
        <w:rPr>
          <w:rFonts w:cs="Arial"/>
        </w:rPr>
        <w:t>include</w:t>
      </w:r>
      <w:r w:rsidR="00202273" w:rsidRPr="009E4BBD">
        <w:rPr>
          <w:rFonts w:cs="Arial"/>
        </w:rPr>
        <w:t xml:space="preserve"> </w:t>
      </w:r>
      <w:r w:rsidR="00202273">
        <w:rPr>
          <w:rFonts w:cs="Arial"/>
        </w:rPr>
        <w:t xml:space="preserve">these additional </w:t>
      </w:r>
      <w:r w:rsidR="00202273" w:rsidRPr="009E4BBD">
        <w:rPr>
          <w:rFonts w:cs="Arial"/>
        </w:rPr>
        <w:t>elements in a way that reflects current practic</w:t>
      </w:r>
      <w:r w:rsidR="00202273">
        <w:rPr>
          <w:rFonts w:cs="Arial"/>
        </w:rPr>
        <w:t>e.</w:t>
      </w:r>
      <w:r w:rsidR="00202273" w:rsidRPr="00401388">
        <w:rPr>
          <w:rFonts w:cs="Arial"/>
        </w:rPr>
        <w:t xml:space="preserve"> </w:t>
      </w:r>
      <w:r w:rsidRPr="00401388">
        <w:rPr>
          <w:rFonts w:cs="Arial"/>
        </w:rPr>
        <w:t>Core melodic, harmonic and rhythmic language will be extended further to include for example, a wider range of global styles.</w:t>
      </w:r>
    </w:p>
    <w:p w:rsidR="00E63B6B" w:rsidRPr="00E63B6B" w:rsidRDefault="00E63B6B" w:rsidP="00380D0A">
      <w:pPr>
        <w:spacing w:after="0" w:line="240" w:lineRule="auto"/>
        <w:rPr>
          <w:rFonts w:cs="Arial"/>
        </w:rPr>
      </w:pPr>
    </w:p>
    <w:p w:rsidR="00380D0A" w:rsidRDefault="00380D0A" w:rsidP="00380D0A">
      <w:pPr>
        <w:spacing w:after="0" w:line="240" w:lineRule="auto"/>
      </w:pPr>
      <w:r w:rsidRPr="00401388">
        <w:t>The focus of the Artistry and Performance component of the modules will develop from the previous year to include more performance-specific communication techniques including eye contact, gesture, interpretation and characterisation.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80D0A" w:rsidRPr="00401388" w:rsidRDefault="00380D0A" w:rsidP="00380D0A">
      <w:pPr>
        <w:spacing w:after="0" w:line="240" w:lineRule="auto"/>
      </w:pPr>
      <w:r w:rsidRPr="00401388">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develop their emerging musical voice to prepare them for level 6 where they will perform public</w:t>
      </w:r>
      <w:r w:rsidR="00E500AB">
        <w:t>l</w:t>
      </w:r>
      <w:r w:rsidRPr="00401388">
        <w:t>y.</w:t>
      </w:r>
    </w:p>
    <w:p w:rsidR="00380D0A" w:rsidRPr="00401388" w:rsidRDefault="00380D0A" w:rsidP="00380D0A">
      <w:pPr>
        <w:spacing w:after="0" w:line="240" w:lineRule="auto"/>
      </w:pPr>
    </w:p>
    <w:p w:rsidR="00380D0A" w:rsidRPr="00401388" w:rsidRDefault="00380D0A" w:rsidP="00380D0A">
      <w:pPr>
        <w:spacing w:after="0" w:line="240" w:lineRule="auto"/>
      </w:pPr>
      <w:r w:rsidRPr="00401388">
        <w:t>The module aims to:</w:t>
      </w:r>
    </w:p>
    <w:p w:rsidR="00380D0A" w:rsidRPr="00401388" w:rsidRDefault="00380D0A" w:rsidP="00380D0A">
      <w:pPr>
        <w:pStyle w:val="ListParagraph"/>
        <w:numPr>
          <w:ilvl w:val="0"/>
          <w:numId w:val="4"/>
        </w:numPr>
        <w:spacing w:after="0" w:line="240" w:lineRule="auto"/>
      </w:pPr>
      <w:r w:rsidRPr="00401388">
        <w:t>Enable the student to further develop their understanding of the techniques and skills of musical performance, showing a command in their execution within a musical performance.</w:t>
      </w:r>
    </w:p>
    <w:p w:rsidR="00380D0A" w:rsidRDefault="00380D0A" w:rsidP="00380D0A">
      <w:pPr>
        <w:pStyle w:val="ListParagraph"/>
        <w:numPr>
          <w:ilvl w:val="0"/>
          <w:numId w:val="4"/>
        </w:numPr>
        <w:spacing w:after="0" w:line="240" w:lineRule="auto"/>
      </w:pPr>
      <w:r w:rsidRPr="00401388">
        <w:t>Encourage the student to realise and develop their emerging musical voice.</w:t>
      </w:r>
    </w:p>
    <w:p w:rsidR="00380D0A" w:rsidRDefault="00380D0A" w:rsidP="00380D0A">
      <w:pPr>
        <w:pStyle w:val="ListParagraph"/>
        <w:numPr>
          <w:ilvl w:val="0"/>
          <w:numId w:val="4"/>
        </w:numPr>
        <w:spacing w:after="0" w:line="240" w:lineRule="auto"/>
      </w:pPr>
      <w:r w:rsidRPr="00401388">
        <w:t>Enable students to perform with appropriate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380D0A" w:rsidP="00EE2A50">
      <w:pPr>
        <w:pStyle w:val="ListParagraph"/>
        <w:numPr>
          <w:ilvl w:val="0"/>
          <w:numId w:val="19"/>
        </w:numPr>
        <w:spacing w:after="0" w:line="240" w:lineRule="auto"/>
        <w:rPr>
          <w:rFonts w:cstheme="minorHAnsi"/>
        </w:rPr>
      </w:pPr>
      <w:r w:rsidRPr="00401388">
        <w:rPr>
          <w:rFonts w:ascii="Calibri" w:eastAsia="Times New Roman" w:hAnsi="Calibri" w:cs="Times New Roman"/>
        </w:rPr>
        <w:t>Perform in a stylistically informed manner with relationship to appropriate repertoire.</w:t>
      </w:r>
      <w:r w:rsidR="000A58BE" w:rsidRPr="00EE2A50">
        <w:rPr>
          <w:rFonts w:cstheme="minorHAnsi"/>
        </w:rPr>
        <w:t xml:space="preserve"> </w:t>
      </w:r>
    </w:p>
    <w:p w:rsidR="008C6639" w:rsidRPr="008C6639" w:rsidRDefault="00380D0A" w:rsidP="008C6639">
      <w:pPr>
        <w:pStyle w:val="ListParagraph"/>
        <w:numPr>
          <w:ilvl w:val="0"/>
          <w:numId w:val="19"/>
        </w:numPr>
        <w:spacing w:after="0" w:line="240" w:lineRule="auto"/>
        <w:rPr>
          <w:rFonts w:cstheme="minorHAnsi"/>
        </w:rPr>
      </w:pPr>
      <w:r w:rsidRPr="00401388">
        <w:rPr>
          <w:rFonts w:ascii="Calibri" w:eastAsia="Times New Roman" w:hAnsi="Calibri" w:cs="Times New Roman"/>
        </w:rPr>
        <w:t>Perform with an advanced technical command of, and fluency on, their specialist study instrument/voice with a developed application of appropriate melodic, harmonic, rhythmic and aural skills.</w:t>
      </w:r>
    </w:p>
    <w:p w:rsidR="002F2DE6" w:rsidRPr="008C6639" w:rsidRDefault="00380D0A" w:rsidP="008C6639">
      <w:pPr>
        <w:pStyle w:val="ListParagraph"/>
        <w:numPr>
          <w:ilvl w:val="0"/>
          <w:numId w:val="19"/>
        </w:numPr>
        <w:spacing w:after="0" w:line="240" w:lineRule="auto"/>
        <w:rPr>
          <w:rFonts w:cstheme="minorHAnsi"/>
        </w:rPr>
      </w:pPr>
      <w:r w:rsidRPr="00401388">
        <w:rPr>
          <w:rFonts w:ascii="Calibri" w:eastAsia="Times New Roman" w:hAnsi="Calibri" w:cs="Times New Roman"/>
        </w:rPr>
        <w:t>Demonstrate appropriate technical skills, including sight reading (where appropriate) to the appropriate level in the specified genre, as well as performing from memory (where appropriate).</w:t>
      </w:r>
    </w:p>
    <w:p w:rsidR="00B8774D" w:rsidRPr="007062D8" w:rsidRDefault="00380D0A" w:rsidP="000F4A3F">
      <w:pPr>
        <w:pStyle w:val="ListParagraph"/>
        <w:numPr>
          <w:ilvl w:val="0"/>
          <w:numId w:val="19"/>
        </w:numPr>
        <w:spacing w:after="0" w:line="240" w:lineRule="auto"/>
        <w:rPr>
          <w:rFonts w:cstheme="minorHAnsi"/>
        </w:rPr>
      </w:pPr>
      <w:r w:rsidRPr="00401388">
        <w:rPr>
          <w:rFonts w:ascii="Calibri" w:eastAsia="Times New Roman" w:hAnsi="Calibri" w:cs="Times New Roman"/>
        </w:rPr>
        <w:lastRenderedPageBreak/>
        <w:t>Show significant judgement in engaging with performance and artistic issues and demonstrate effective programme planning.</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380D0A" w:rsidRPr="00401388" w:rsidRDefault="00380D0A" w:rsidP="00380D0A">
      <w:pPr>
        <w:spacing w:after="0" w:line="240" w:lineRule="auto"/>
      </w:pPr>
      <w:r w:rsidRPr="00401388">
        <w:t xml:space="preserve">Teaching is by individual tutorial, with supporting group study ('Performance in Context'), allowing for student-centred learning. Students will work towards a performance demonstrating a range of skills appropriate to the chosen musical idiom.  </w:t>
      </w:r>
    </w:p>
    <w:p w:rsidR="00380D0A" w:rsidRPr="00401388" w:rsidRDefault="00380D0A" w:rsidP="00380D0A">
      <w:pPr>
        <w:spacing w:after="0" w:line="240" w:lineRule="auto"/>
      </w:pPr>
    </w:p>
    <w:p w:rsidR="00380D0A" w:rsidRPr="00401388" w:rsidRDefault="00380D0A" w:rsidP="00380D0A">
      <w:pPr>
        <w:spacing w:after="0" w:line="240" w:lineRule="auto"/>
      </w:pPr>
      <w:r w:rsidRPr="00401388">
        <w:rPr>
          <w:b/>
        </w:rPr>
        <w:t xml:space="preserve">One to one tuition </w:t>
      </w:r>
      <w:r w:rsidRPr="00401388">
        <w:t>facilitates a developmental process over two trimesters. It is designed to build upon existing skills in technique and musicianship in order to establish strong performance skills with the aim of developing expression, creativity and technique.</w:t>
      </w:r>
    </w:p>
    <w:p w:rsidR="00380D0A" w:rsidRPr="00401388" w:rsidRDefault="00380D0A" w:rsidP="00380D0A">
      <w:pPr>
        <w:spacing w:after="0" w:line="240" w:lineRule="auto"/>
      </w:pPr>
    </w:p>
    <w:p w:rsidR="000B2336" w:rsidRPr="00516902" w:rsidRDefault="000B2336" w:rsidP="000B2336">
      <w:r w:rsidRPr="00401388">
        <w:rPr>
          <w:b/>
        </w:rPr>
        <w:t>Performance in context workshops</w:t>
      </w:r>
      <w:r>
        <w:rPr>
          <w:b/>
        </w:rPr>
        <w:t xml:space="preserve"> and seminars</w:t>
      </w:r>
      <w:r w:rsidRPr="00401388">
        <w:t xml:space="preserve"> are designed to support the student’s one-to-one activity and place their specialist study in the wider context of technical considerations, artistic expression and critical insight. This will inform their technical assessment.</w:t>
      </w:r>
      <w:r>
        <w:t xml:space="preserve"> On the Folk pathway, Performance students will work with other performers and composers across year groups to facilitate creative reflection via peer to peer feedback workshops and seminars.</w:t>
      </w:r>
    </w:p>
    <w:p w:rsidR="00380D0A" w:rsidRDefault="00380D0A" w:rsidP="00380D0A">
      <w:pPr>
        <w:tabs>
          <w:tab w:val="left" w:pos="8955"/>
        </w:tabs>
        <w:spacing w:after="0" w:line="240" w:lineRule="auto"/>
      </w:pPr>
      <w:r w:rsidRPr="00401388">
        <w:rPr>
          <w:b/>
        </w:rPr>
        <w:t xml:space="preserve">Masterclasses </w:t>
      </w:r>
      <w:r w:rsidRPr="00401388">
        <w:t>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80D0A" w:rsidRDefault="00380D0A" w:rsidP="00380D0A">
      <w:pPr>
        <w:spacing w:after="0" w:line="240" w:lineRule="auto"/>
      </w:pPr>
      <w:r w:rsidRPr="00401388">
        <w:t xml:space="preserve">Students will receive regular formative assessment via both performing opportunities and their individual lessons. Within the </w:t>
      </w:r>
      <w:r>
        <w:t>individual tuition process</w:t>
      </w:r>
      <w:r w:rsidRPr="00401388">
        <w:t xml:space="preserve"> students receive verbal feedback regarding their progress on a weekly basis as part of an on-going development process. This is the same for the performance i</w:t>
      </w:r>
      <w:r>
        <w:t>n context workshops</w:t>
      </w:r>
      <w:r w:rsidR="006C6EBF">
        <w:t>/seminars</w:t>
      </w:r>
      <w:bookmarkStart w:id="0" w:name="_GoBack"/>
      <w:bookmarkEnd w:id="0"/>
      <w:r>
        <w:t xml:space="preserve"> </w:t>
      </w:r>
      <w:r w:rsidRPr="00401388">
        <w:t>that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E63B6B" w:rsidP="00292681">
            <w:pPr>
              <w:jc w:val="center"/>
              <w:rPr>
                <w:rFonts w:cstheme="minorHAnsi"/>
              </w:rPr>
            </w:pPr>
            <w:r>
              <w:rPr>
                <w:rFonts w:cstheme="minorHAnsi"/>
              </w:rPr>
              <w:t>20</w:t>
            </w:r>
            <w:r w:rsidR="00E2230F">
              <w:rPr>
                <w:rFonts w:cstheme="minorHAnsi"/>
              </w:rPr>
              <w:t xml:space="preserve">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E63B6B" w:rsidP="00E2230F">
            <w:pPr>
              <w:jc w:val="center"/>
              <w:rPr>
                <w:rFonts w:cstheme="minorHAnsi"/>
              </w:rPr>
            </w:pPr>
            <w:r>
              <w:rPr>
                <w:rFonts w:cstheme="minorHAnsi"/>
              </w:rPr>
              <w:t>20</w:t>
            </w:r>
            <w:r w:rsidR="00E2230F">
              <w:rPr>
                <w:rFonts w:cstheme="minorHAnsi"/>
              </w:rPr>
              <w:t xml:space="preserve">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lastRenderedPageBreak/>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F7508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F75088">
    <w:pPr>
      <w:pStyle w:val="Header"/>
    </w:pPr>
    <w:r>
      <w:rPr>
        <w:noProof/>
        <w:lang w:eastAsia="en-GB"/>
      </w:rPr>
      <w:drawing>
        <wp:anchor distT="0" distB="0" distL="114300" distR="114300" simplePos="0" relativeHeight="251662336" behindDoc="1" locked="0" layoutInCell="1" allowOverlap="1" wp14:anchorId="6200BE46" wp14:editId="519070AD">
          <wp:simplePos x="0" y="0"/>
          <wp:positionH relativeFrom="column">
            <wp:posOffset>4518660</wp:posOffset>
          </wp:positionH>
          <wp:positionV relativeFrom="paragraph">
            <wp:posOffset>-527685</wp:posOffset>
          </wp:positionV>
          <wp:extent cx="2531225" cy="1521229"/>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31225" cy="1521229"/>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336"/>
    <w:rsid w:val="000B2598"/>
    <w:rsid w:val="000B7079"/>
    <w:rsid w:val="000D1E46"/>
    <w:rsid w:val="000F62D3"/>
    <w:rsid w:val="0010053C"/>
    <w:rsid w:val="00143AF0"/>
    <w:rsid w:val="001C661C"/>
    <w:rsid w:val="001F19AB"/>
    <w:rsid w:val="001F1F69"/>
    <w:rsid w:val="00202273"/>
    <w:rsid w:val="00225B35"/>
    <w:rsid w:val="002421F7"/>
    <w:rsid w:val="00286D45"/>
    <w:rsid w:val="00292681"/>
    <w:rsid w:val="002F2DE6"/>
    <w:rsid w:val="00313DE1"/>
    <w:rsid w:val="003610C0"/>
    <w:rsid w:val="00363490"/>
    <w:rsid w:val="003663DD"/>
    <w:rsid w:val="00366821"/>
    <w:rsid w:val="00380D0A"/>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6C6EBF"/>
    <w:rsid w:val="007062D8"/>
    <w:rsid w:val="00713854"/>
    <w:rsid w:val="00720288"/>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31080"/>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E20379"/>
    <w:rsid w:val="00E2230F"/>
    <w:rsid w:val="00E500AB"/>
    <w:rsid w:val="00E63B6B"/>
    <w:rsid w:val="00EA2F19"/>
    <w:rsid w:val="00ED5540"/>
    <w:rsid w:val="00EE2A50"/>
    <w:rsid w:val="00EE34BE"/>
    <w:rsid w:val="00EF5DBA"/>
    <w:rsid w:val="00F75088"/>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21F9D2"/>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Specialist Study Performance 2 (Folk)</vt:lpstr>
    </vt:vector>
  </TitlesOfParts>
  <Company>Leeds College Of Music</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2 (Folk)</dc:title>
  <dc:creator>LCoM User</dc:creator>
  <cp:lastModifiedBy>Stephenson, Caroline</cp:lastModifiedBy>
  <cp:revision>8</cp:revision>
  <cp:lastPrinted>2019-02-19T12:05:00Z</cp:lastPrinted>
  <dcterms:created xsi:type="dcterms:W3CDTF">2021-04-29T11:30:00Z</dcterms:created>
  <dcterms:modified xsi:type="dcterms:W3CDTF">2021-04-29T11:36:00Z</dcterms:modified>
</cp:coreProperties>
</file>